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F24C" w14:textId="77777777" w:rsidR="00524640" w:rsidRPr="00524640" w:rsidRDefault="00524640" w:rsidP="00524640">
      <w:pPr>
        <w:jc w:val="center"/>
        <w:rPr>
          <w:rFonts w:ascii="Times New Roman" w:hAnsi="Times New Roman"/>
          <w:b/>
          <w:szCs w:val="26"/>
        </w:rPr>
      </w:pPr>
      <w:r w:rsidRPr="00524640">
        <w:rPr>
          <w:rFonts w:ascii="Times New Roman" w:hAnsi="Times New Roman"/>
          <w:b/>
          <w:szCs w:val="26"/>
        </w:rPr>
        <w:t>CỘNG HÒA XÃ HỘI CHỦ NGHĨA VIỆT NAM</w:t>
      </w:r>
    </w:p>
    <w:p w14:paraId="1C7116AB" w14:textId="6683C68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233B3DFE"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706B58A6">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4A558BE"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8zAEAAJIDAAAOAAAAZHJzL2Uyb0RvYy54bWysU8Fu2zAMvQ/YPwi6L44TdNi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"/>
            </w:pict>
          </mc:Fallback>
        </mc:AlternateContent>
      </w:r>
      <w:r w:rsidRPr="00524640">
        <w:rPr>
          <w:rFonts w:ascii="Times New Roman" w:hAnsi="Times New Roman"/>
          <w:i/>
        </w:rPr>
        <w:t xml:space="preserve">                                             </w:t>
      </w:r>
    </w:p>
    <w:p w14:paraId="64FCC5A8" w14:textId="0413C4A0" w:rsidR="00524640" w:rsidRPr="00524640" w:rsidRDefault="003411C4" w:rsidP="00524640">
      <w:pPr>
        <w:rPr>
          <w:rFonts w:ascii="Times New Roman" w:hAnsi="Times New Roman"/>
        </w:rPr>
      </w:pPr>
      <w:r w:rsidRPr="00524640">
        <w:rPr>
          <w:rFonts w:ascii="Times New Roman" w:hAnsi="Times New Roman"/>
          <w:b/>
          <w:noProof/>
          <w:sz w:val="28"/>
          <w:szCs w:val="26"/>
        </w:rPr>
        <mc:AlternateContent>
          <mc:Choice Requires="wps">
            <w:drawing>
              <wp:anchor distT="0" distB="0" distL="114300" distR="114300" simplePos="0" relativeHeight="251673600" behindDoc="1" locked="0" layoutInCell="1" allowOverlap="1" wp14:anchorId="38451A2B" wp14:editId="4FFD2279">
                <wp:simplePos x="0" y="0"/>
                <wp:positionH relativeFrom="column">
                  <wp:posOffset>4649406</wp:posOffset>
                </wp:positionH>
                <wp:positionV relativeFrom="page">
                  <wp:posOffset>1308549</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451A2B" id="_x0000_t202" coordsize="21600,21600" o:spt="202" path="m,l,21600r21600,l21600,xe">
                <v:stroke joinstyle="miter"/>
                <v:path gradientshapeok="t" o:connecttype="rect"/>
              </v:shapetype>
              <v:shape id="Text Box 2" o:spid="_x0000_s1026" type="#_x0000_t202" style="position:absolute;margin-left:366.1pt;margin-top:103.05pt;width:73.95pt;height:23.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">
                <v:textbo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0BB9C9A1" w14:textId="77777777" w:rsidR="00397BBD" w:rsidRDefault="00397BBD" w:rsidP="00721504">
      <w:pPr>
        <w:pStyle w:val="Bodytext22"/>
        <w:shd w:val="clear" w:color="auto" w:fill="auto"/>
        <w:spacing w:line="240" w:lineRule="auto"/>
        <w:ind w:left="23"/>
        <w:rPr>
          <w:rStyle w:val="Bodytext2SmallCaps"/>
          <w:b/>
          <w:bCs/>
          <w:sz w:val="28"/>
          <w:szCs w:val="28"/>
        </w:rPr>
      </w:pPr>
    </w:p>
    <w:p w14:paraId="29E167E2" w14:textId="582E8539"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5136AC89" w:rsidR="00721504" w:rsidRPr="00381A99" w:rsidRDefault="00721504" w:rsidP="00721504">
      <w:pPr>
        <w:pStyle w:val="Bodytext22"/>
        <w:shd w:val="clear" w:color="auto" w:fill="auto"/>
        <w:spacing w:line="240" w:lineRule="auto"/>
        <w:ind w:left="23"/>
        <w:rPr>
          <w:rStyle w:val="Bodytext2SmallCaps"/>
          <w:b/>
          <w:bCs/>
          <w:sz w:val="28"/>
          <w:szCs w:val="28"/>
          <w:lang w:val="en-US"/>
        </w:rPr>
      </w:pPr>
      <w:r w:rsidRPr="00381A99">
        <w:rPr>
          <w:rStyle w:val="Bodytext2SmallCaps"/>
          <w:b/>
          <w:bCs/>
          <w:sz w:val="28"/>
          <w:szCs w:val="28"/>
        </w:rPr>
        <w:t xml:space="preserve">TẠI ĐẠI HỘI ĐỒNG CỔ ĐÔNG </w:t>
      </w:r>
      <w:r w:rsidR="00316C4D">
        <w:rPr>
          <w:rStyle w:val="Bodytext2SmallCaps"/>
          <w:b/>
          <w:bCs/>
          <w:sz w:val="28"/>
          <w:szCs w:val="28"/>
          <w:lang w:val="en-US"/>
        </w:rPr>
        <w:t>THƯỜNG</w:t>
      </w:r>
      <w:r w:rsidR="00EE07AF">
        <w:rPr>
          <w:rStyle w:val="Bodytext2SmallCaps"/>
          <w:b/>
          <w:bCs/>
          <w:sz w:val="28"/>
          <w:szCs w:val="28"/>
          <w:lang w:val="en-US"/>
        </w:rPr>
        <w:t xml:space="preserve"> NIÊN</w:t>
      </w:r>
      <w:r w:rsidRPr="00381A99">
        <w:rPr>
          <w:rStyle w:val="Bodytext2SmallCaps"/>
          <w:b/>
          <w:bCs/>
          <w:sz w:val="28"/>
          <w:szCs w:val="28"/>
          <w:lang w:val="en-US"/>
        </w:rPr>
        <w:t xml:space="preserve"> NĂM 202</w:t>
      </w:r>
      <w:r w:rsidR="001679C7">
        <w:rPr>
          <w:rStyle w:val="Bodytext2SmallCaps"/>
          <w:b/>
          <w:bCs/>
          <w:sz w:val="28"/>
          <w:szCs w:val="28"/>
          <w:lang w:val="en-US"/>
        </w:rPr>
        <w:t>4</w:t>
      </w:r>
    </w:p>
    <w:p w14:paraId="0E04ECFA" w14:textId="77777777" w:rsidR="00721504" w:rsidRDefault="00721504" w:rsidP="00721504">
      <w:pPr>
        <w:pStyle w:val="Bodytext22"/>
        <w:shd w:val="clear" w:color="auto" w:fill="auto"/>
        <w:spacing w:after="360" w:line="240" w:lineRule="auto"/>
        <w:ind w:left="23"/>
        <w:rPr>
          <w:rStyle w:val="Bodytext2SmallCaps"/>
          <w:b/>
          <w:bCs/>
          <w:sz w:val="28"/>
          <w:szCs w:val="28"/>
        </w:rPr>
      </w:pPr>
      <w:r w:rsidRPr="00381A99">
        <w:rPr>
          <w:rStyle w:val="Bodytext2SmallCaps"/>
          <w:b/>
          <w:bCs/>
          <w:sz w:val="28"/>
          <w:szCs w:val="28"/>
        </w:rPr>
        <w:t xml:space="preserve">TỔNG CÔNG TY PHÁT ĐIỆN </w:t>
      </w:r>
      <w:r w:rsidRPr="00381A99">
        <w:rPr>
          <w:rStyle w:val="Bodytext2SmallCaps"/>
          <w:b/>
          <w:bCs/>
          <w:sz w:val="28"/>
          <w:szCs w:val="28"/>
          <w:lang w:val="en-US"/>
        </w:rPr>
        <w:t>2</w:t>
      </w:r>
      <w:r w:rsidRPr="00381A99">
        <w:rPr>
          <w:rStyle w:val="Bodytext2SmallCaps"/>
          <w:b/>
          <w:bCs/>
          <w:sz w:val="28"/>
          <w:szCs w:val="28"/>
        </w:rPr>
        <w:t>- CÔNG TY CỔ PHẦN</w:t>
      </w:r>
    </w:p>
    <w:p w14:paraId="34F562E7" w14:textId="77777777" w:rsidR="00A77B67" w:rsidRDefault="00A77B67" w:rsidP="00A77B67">
      <w:pPr>
        <w:pStyle w:val="Bodytext22"/>
        <w:shd w:val="clear" w:color="auto" w:fill="auto"/>
        <w:spacing w:line="240" w:lineRule="auto"/>
        <w:ind w:left="23"/>
        <w:rPr>
          <w:rStyle w:val="Bodytext2SmallCaps"/>
          <w:b/>
          <w:bCs/>
          <w:sz w:val="28"/>
          <w:szCs w:val="28"/>
        </w:rPr>
      </w:pPr>
    </w:p>
    <w:p w14:paraId="6E03EA44" w14:textId="517F5E1E"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Luật Doanh nghiệp;</w:t>
      </w:r>
    </w:p>
    <w:p w14:paraId="273F1C6E" w14:textId="5AE6904B"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 Căn cứ Điều lệ tổ chức và hoạt động của </w:t>
      </w:r>
      <w:r w:rsidR="006C0A9C">
        <w:rPr>
          <w:rFonts w:ascii="Times New Roman" w:hAnsi="Times New Roman"/>
          <w:sz w:val="28"/>
          <w:szCs w:val="28"/>
        </w:rPr>
        <w:t>EVNGENCO2</w:t>
      </w:r>
      <w:r w:rsidRPr="0040358D">
        <w:rPr>
          <w:rFonts w:ascii="Times New Roman" w:hAnsi="Times New Roman"/>
          <w:sz w:val="28"/>
          <w:szCs w:val="28"/>
        </w:rPr>
        <w:t>,</w:t>
      </w:r>
    </w:p>
    <w:p w14:paraId="3B3266D4" w14:textId="7777777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Nguyên tắc, thể lệ biểu quyết tại Đại hội đồng cổ đông Tổng Công ty Phát điện 2 - Công ty cổ phần được Đại hội đồng cổ đông thông qua với các nội dung cụ thể như sau:</w:t>
      </w:r>
    </w:p>
    <w:p w14:paraId="179F95B4"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0" w:name="bookmark0"/>
      <w:r w:rsidRPr="0040358D">
        <w:rPr>
          <w:sz w:val="28"/>
          <w:szCs w:val="28"/>
        </w:rPr>
        <w:t>Nguyên tắc biểu quyết:</w:t>
      </w:r>
      <w:bookmarkEnd w:id="0"/>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Pr="0040358D">
        <w:rPr>
          <w:sz w:val="28"/>
          <w:szCs w:val="28"/>
          <w:lang w:val="en-GB"/>
        </w:rPr>
        <w:t xml:space="preserve">Ban Bầu cử và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Trường hợp biểu quyết thông qua Đoàn chủ tịch, Ban Thư ký, Ban Bầu cử và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1" w:name="bookmark1"/>
      <w:r w:rsidRPr="0040358D">
        <w:rPr>
          <w:sz w:val="28"/>
          <w:szCs w:val="28"/>
        </w:rPr>
        <w:t>Cách thức biểu quyết:</w:t>
      </w:r>
      <w:bookmarkEnd w:id="1"/>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2" w:name="bookmark2"/>
      <w:r w:rsidRPr="0040358D">
        <w:rPr>
          <w:sz w:val="28"/>
          <w:szCs w:val="28"/>
        </w:rPr>
        <w:t>Quy định chung</w:t>
      </w:r>
      <w:bookmarkEnd w:id="2"/>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Biểu quyết thông qua các nội dung tại Đại hội đồng cổ đông được tiến hành công khai, trực tiếp theo sự điều hành của Đoàn chủ tịch và chỉ sử dụng các </w:t>
      </w:r>
      <w:r w:rsidRPr="0040358D">
        <w:rPr>
          <w:sz w:val="28"/>
          <w:szCs w:val="28"/>
        </w:rPr>
        <w:lastRenderedPageBreak/>
        <w:t>Phiếu biểu quyết do Ban tổ chức Đại hội phát hành.</w:t>
      </w:r>
    </w:p>
    <w:p w14:paraId="6A8BEC86"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Cổ đông hoặc đại diện ủy quyền của cổ đông (sau đây gọi tắt là cổ đông) tham dự Đại hội đồng cổ đông có quyền biểu quyết sẽ được phát phiếu biểu quyết. Phiếu biểu quyết được bỏ vào hòm Phiếu và được Ban Bầu cử và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3"/>
      <w:r w:rsidRPr="0040358D">
        <w:rPr>
          <w:sz w:val="28"/>
          <w:szCs w:val="28"/>
        </w:rPr>
        <w:t>Cách thức biểu quyết</w:t>
      </w:r>
      <w:bookmarkEnd w:id="3"/>
    </w:p>
    <w:p w14:paraId="45D807B4"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4"/>
      <w:r w:rsidRPr="0040358D">
        <w:rPr>
          <w:sz w:val="28"/>
          <w:szCs w:val="28"/>
        </w:rPr>
        <w:t>Tổng hợp kết quả</w:t>
      </w:r>
      <w:bookmarkEnd w:id="4"/>
    </w:p>
    <w:p w14:paraId="7D13E19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Trưởng ban Bầu cử và Kiểm phiếu có trách nhiệm thông báo kết quả biểu 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lastRenderedPageBreak/>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5" w:name="bookmark5"/>
      <w:r w:rsidRPr="0040358D">
        <w:rPr>
          <w:sz w:val="28"/>
          <w:szCs w:val="28"/>
        </w:rPr>
        <w:t>Thông qua kết quả biểu quyết:</w:t>
      </w:r>
      <w:bookmarkEnd w:id="5"/>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6"/>
      <w:r w:rsidRPr="0040358D">
        <w:rPr>
          <w:sz w:val="28"/>
          <w:szCs w:val="28"/>
        </w:rPr>
        <w:t>Hiệu lực:</w:t>
      </w:r>
      <w:bookmarkEnd w:id="6"/>
    </w:p>
    <w:p w14:paraId="7D4E051F" w14:textId="11C97F69"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 xml:space="preserve">Nguyên tắc, Thể lệ biểu quyết có hiệu lực ngay khi được Đại hội đồng cổ đông </w:t>
      </w:r>
      <w:r w:rsidR="009C2F85">
        <w:rPr>
          <w:sz w:val="28"/>
          <w:szCs w:val="28"/>
        </w:rPr>
        <w:t>thường</w:t>
      </w:r>
      <w:r w:rsidR="0022558B">
        <w:rPr>
          <w:sz w:val="28"/>
          <w:szCs w:val="28"/>
        </w:rPr>
        <w:t xml:space="preserve"> niên</w:t>
      </w:r>
      <w:r w:rsidRPr="0040358D">
        <w:rPr>
          <w:sz w:val="28"/>
          <w:szCs w:val="28"/>
        </w:rPr>
        <w:t xml:space="preserve"> năm 202</w:t>
      </w:r>
      <w:r w:rsidR="0022558B">
        <w:rPr>
          <w:sz w:val="28"/>
          <w:szCs w:val="28"/>
        </w:rPr>
        <w:t>4</w:t>
      </w:r>
      <w:r w:rsidRPr="0040358D">
        <w:rPr>
          <w:sz w:val="28"/>
          <w:szCs w:val="28"/>
        </w:rPr>
        <w:t xml:space="preserve">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7" w:name="bookmark7"/>
      <w:r w:rsidRPr="0040358D">
        <w:rPr>
          <w:sz w:val="28"/>
          <w:szCs w:val="28"/>
        </w:rPr>
        <w:t xml:space="preserve">                                                                                           </w:t>
      </w:r>
      <w:bookmarkEnd w:id="7"/>
    </w:p>
    <w:tbl>
      <w:tblPr>
        <w:tblW w:w="0" w:type="auto"/>
        <w:tblLook w:val="04A0" w:firstRow="1" w:lastRow="0" w:firstColumn="1" w:lastColumn="0" w:noHBand="0" w:noVBand="1"/>
      </w:tblPr>
      <w:tblGrid>
        <w:gridCol w:w="3046"/>
        <w:gridCol w:w="6026"/>
      </w:tblGrid>
      <w:tr w:rsidR="00721504" w:rsidRPr="0040358D" w14:paraId="1AA5EAD8" w14:textId="77777777" w:rsidTr="00013D26">
        <w:tc>
          <w:tcPr>
            <w:tcW w:w="3085" w:type="dxa"/>
          </w:tcPr>
          <w:p w14:paraId="45C1E75C" w14:textId="77777777" w:rsidR="00721504" w:rsidRPr="0040358D" w:rsidRDefault="00721504" w:rsidP="00013D26">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40358D" w:rsidRDefault="00721504" w:rsidP="00013D26">
            <w:pPr>
              <w:pStyle w:val="Default"/>
              <w:jc w:val="center"/>
              <w:rPr>
                <w:rFonts w:ascii="Times New Roman" w:hAnsi="Times New Roman" w:cs="Times New Roman"/>
                <w:b/>
                <w:bCs/>
                <w:color w:val="auto"/>
                <w:sz w:val="28"/>
                <w:szCs w:val="28"/>
              </w:rPr>
            </w:pPr>
            <w:r w:rsidRPr="0040358D">
              <w:rPr>
                <w:rFonts w:ascii="Times New Roman" w:hAnsi="Times New Roman" w:cs="Times New Roman"/>
                <w:b/>
                <w:bCs/>
                <w:color w:val="auto"/>
                <w:sz w:val="28"/>
                <w:szCs w:val="28"/>
              </w:rPr>
              <w:t>TM. ĐẠI HỘI ĐỒNG CỔ ĐÔNG</w:t>
            </w:r>
          </w:p>
          <w:p w14:paraId="2DEA9013" w14:textId="77777777" w:rsidR="00721504" w:rsidRPr="0040358D" w:rsidRDefault="00721504" w:rsidP="00013D26">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A4275F">
      <w:headerReference w:type="default" r:id="rId8"/>
      <w:footerReference w:type="even" r:id="rId9"/>
      <w:footerReference w:type="default" r:id="rId10"/>
      <w:headerReference w:type="first" r:id="rId11"/>
      <w:pgSz w:w="11907" w:h="16840" w:code="9"/>
      <w:pgMar w:top="1134" w:right="1134" w:bottom="1134" w:left="1701" w:header="0" w:footer="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3EB7" w14:textId="77777777" w:rsidR="00A4275F" w:rsidRDefault="00A4275F">
      <w:r>
        <w:separator/>
      </w:r>
    </w:p>
  </w:endnote>
  <w:endnote w:type="continuationSeparator" w:id="0">
    <w:p w14:paraId="0C26CB95" w14:textId="77777777" w:rsidR="00A4275F" w:rsidRDefault="00A4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394025"/>
      <w:docPartObj>
        <w:docPartGallery w:val="Page Numbers (Bottom of Page)"/>
        <w:docPartUnique/>
      </w:docPartObj>
    </w:sdtPr>
    <w:sdtEndPr>
      <w:rPr>
        <w:noProof/>
      </w:rPr>
    </w:sdtEndPr>
    <w:sdtContent>
      <w:p w14:paraId="3B35AE68" w14:textId="3787FAC7" w:rsidR="00E81C5B" w:rsidRDefault="00000000">
        <w:pPr>
          <w:pStyle w:val="Footer"/>
          <w:jc w:val="center"/>
        </w:pP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CB33" w14:textId="77777777" w:rsidR="00A4275F" w:rsidRDefault="00A4275F">
      <w:r>
        <w:separator/>
      </w:r>
    </w:p>
  </w:footnote>
  <w:footnote w:type="continuationSeparator" w:id="0">
    <w:p w14:paraId="19163815" w14:textId="77777777" w:rsidR="00A4275F" w:rsidRDefault="00A4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39988"/>
      <w:docPartObj>
        <w:docPartGallery w:val="Page Numbers (Top of Page)"/>
        <w:docPartUnique/>
      </w:docPartObj>
    </w:sdtPr>
    <w:sdtEndPr>
      <w:rPr>
        <w:noProof/>
      </w:rPr>
    </w:sdtEndPr>
    <w:sdtContent>
      <w:p w14:paraId="1B46EE7C" w14:textId="77777777" w:rsidR="00D2473D" w:rsidRDefault="00D2473D">
        <w:pPr>
          <w:pStyle w:val="Header"/>
          <w:jc w:val="center"/>
        </w:pPr>
      </w:p>
      <w:p w14:paraId="68A3998F" w14:textId="661DAB71" w:rsidR="00D2473D" w:rsidRDefault="00D247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4154C"/>
    <w:rsid w:val="00051B51"/>
    <w:rsid w:val="00053FC7"/>
    <w:rsid w:val="000608B8"/>
    <w:rsid w:val="00066DA2"/>
    <w:rsid w:val="00070529"/>
    <w:rsid w:val="00071AB1"/>
    <w:rsid w:val="00074594"/>
    <w:rsid w:val="00074F44"/>
    <w:rsid w:val="00075221"/>
    <w:rsid w:val="000777CD"/>
    <w:rsid w:val="00081727"/>
    <w:rsid w:val="00084B43"/>
    <w:rsid w:val="00085C4A"/>
    <w:rsid w:val="000875FA"/>
    <w:rsid w:val="0009149B"/>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679C7"/>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21E1"/>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558B"/>
    <w:rsid w:val="002274F2"/>
    <w:rsid w:val="0023455A"/>
    <w:rsid w:val="00235832"/>
    <w:rsid w:val="002360D7"/>
    <w:rsid w:val="00237EAE"/>
    <w:rsid w:val="00240B68"/>
    <w:rsid w:val="002448E3"/>
    <w:rsid w:val="002476CB"/>
    <w:rsid w:val="002549D6"/>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6C4D"/>
    <w:rsid w:val="0031791C"/>
    <w:rsid w:val="00320151"/>
    <w:rsid w:val="0032099F"/>
    <w:rsid w:val="00320B2A"/>
    <w:rsid w:val="00330255"/>
    <w:rsid w:val="003306A1"/>
    <w:rsid w:val="003339C0"/>
    <w:rsid w:val="00333C4D"/>
    <w:rsid w:val="00340EDC"/>
    <w:rsid w:val="003411C4"/>
    <w:rsid w:val="003418DA"/>
    <w:rsid w:val="00354280"/>
    <w:rsid w:val="0035440E"/>
    <w:rsid w:val="0035482F"/>
    <w:rsid w:val="00363A7C"/>
    <w:rsid w:val="00366050"/>
    <w:rsid w:val="00373E16"/>
    <w:rsid w:val="0037609F"/>
    <w:rsid w:val="003803CC"/>
    <w:rsid w:val="00383536"/>
    <w:rsid w:val="00383D6A"/>
    <w:rsid w:val="00394878"/>
    <w:rsid w:val="003968E5"/>
    <w:rsid w:val="00397BBD"/>
    <w:rsid w:val="00397ED1"/>
    <w:rsid w:val="003A272A"/>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5987"/>
    <w:rsid w:val="004F7A2D"/>
    <w:rsid w:val="005005F9"/>
    <w:rsid w:val="00502E4C"/>
    <w:rsid w:val="005047C5"/>
    <w:rsid w:val="0050601C"/>
    <w:rsid w:val="00506B8C"/>
    <w:rsid w:val="00506F10"/>
    <w:rsid w:val="0051435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4FF8"/>
    <w:rsid w:val="00636219"/>
    <w:rsid w:val="00652EC0"/>
    <w:rsid w:val="0065657E"/>
    <w:rsid w:val="00657A8E"/>
    <w:rsid w:val="00660A52"/>
    <w:rsid w:val="00660C6C"/>
    <w:rsid w:val="00662189"/>
    <w:rsid w:val="00671425"/>
    <w:rsid w:val="006756B1"/>
    <w:rsid w:val="00675B16"/>
    <w:rsid w:val="00675C4C"/>
    <w:rsid w:val="00682FD1"/>
    <w:rsid w:val="00690688"/>
    <w:rsid w:val="00690C94"/>
    <w:rsid w:val="00696979"/>
    <w:rsid w:val="006A2F5C"/>
    <w:rsid w:val="006A59CB"/>
    <w:rsid w:val="006B37CC"/>
    <w:rsid w:val="006C0A9C"/>
    <w:rsid w:val="006C39D3"/>
    <w:rsid w:val="006C7CD3"/>
    <w:rsid w:val="006D2DD4"/>
    <w:rsid w:val="006D4969"/>
    <w:rsid w:val="006D57D5"/>
    <w:rsid w:val="006E399F"/>
    <w:rsid w:val="006F5924"/>
    <w:rsid w:val="006F6281"/>
    <w:rsid w:val="00700C19"/>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7208"/>
    <w:rsid w:val="0082771D"/>
    <w:rsid w:val="008354BD"/>
    <w:rsid w:val="008427D6"/>
    <w:rsid w:val="00850424"/>
    <w:rsid w:val="00856A5A"/>
    <w:rsid w:val="00856F87"/>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2F85"/>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4275F"/>
    <w:rsid w:val="00A546FC"/>
    <w:rsid w:val="00A57351"/>
    <w:rsid w:val="00A57CDE"/>
    <w:rsid w:val="00A57EB4"/>
    <w:rsid w:val="00A57EDD"/>
    <w:rsid w:val="00A60B0D"/>
    <w:rsid w:val="00A76738"/>
    <w:rsid w:val="00A7751E"/>
    <w:rsid w:val="00A77B67"/>
    <w:rsid w:val="00A831A7"/>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478FF"/>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4B33"/>
    <w:rsid w:val="00CF7C99"/>
    <w:rsid w:val="00D04CDD"/>
    <w:rsid w:val="00D04D86"/>
    <w:rsid w:val="00D052B0"/>
    <w:rsid w:val="00D05ED2"/>
    <w:rsid w:val="00D11CD8"/>
    <w:rsid w:val="00D128A3"/>
    <w:rsid w:val="00D16F7C"/>
    <w:rsid w:val="00D20622"/>
    <w:rsid w:val="00D21423"/>
    <w:rsid w:val="00D2473D"/>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52EC"/>
    <w:rsid w:val="00EB6742"/>
    <w:rsid w:val="00EB6FBC"/>
    <w:rsid w:val="00EC0EAA"/>
    <w:rsid w:val="00EC2384"/>
    <w:rsid w:val="00EC2AC1"/>
    <w:rsid w:val="00EC35CE"/>
    <w:rsid w:val="00EC50E2"/>
    <w:rsid w:val="00EC5C35"/>
    <w:rsid w:val="00ED636B"/>
    <w:rsid w:val="00EE07AF"/>
    <w:rsid w:val="00EE4DE7"/>
    <w:rsid w:val="00EF2BE9"/>
    <w:rsid w:val="00EF4F77"/>
    <w:rsid w:val="00F01DA4"/>
    <w:rsid w:val="00F01FBF"/>
    <w:rsid w:val="00F07C41"/>
    <w:rsid w:val="00F13C3B"/>
    <w:rsid w:val="00F16DD2"/>
    <w:rsid w:val="00F26219"/>
    <w:rsid w:val="00F27A36"/>
    <w:rsid w:val="00F30806"/>
    <w:rsid w:val="00F43F10"/>
    <w:rsid w:val="00F43F3A"/>
    <w:rsid w:val="00F44E11"/>
    <w:rsid w:val="00F464A8"/>
    <w:rsid w:val="00F52AE0"/>
    <w:rsid w:val="00F62198"/>
    <w:rsid w:val="00F62934"/>
    <w:rsid w:val="00F64DFC"/>
    <w:rsid w:val="00F663A8"/>
    <w:rsid w:val="00F66D34"/>
    <w:rsid w:val="00F72EE1"/>
    <w:rsid w:val="00F744C9"/>
    <w:rsid w:val="00F8200C"/>
    <w:rsid w:val="00F965A8"/>
    <w:rsid w:val="00FA36E3"/>
    <w:rsid w:val="00FB087A"/>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evngenco2-14@outlook.com</cp:lastModifiedBy>
  <cp:revision>31</cp:revision>
  <cp:lastPrinted>2022-05-22T09:36:00Z</cp:lastPrinted>
  <dcterms:created xsi:type="dcterms:W3CDTF">2022-05-26T15:14:00Z</dcterms:created>
  <dcterms:modified xsi:type="dcterms:W3CDTF">2024-03-20T02:48:00Z</dcterms:modified>
</cp:coreProperties>
</file>